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2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4623"/>
        <w:gridCol w:w="1260"/>
        <w:gridCol w:w="2307"/>
        <w:gridCol w:w="1905"/>
      </w:tblGrid>
      <w:tr w:rsidR="00D34916" w:rsidRPr="00632F62" w:rsidTr="0010427B">
        <w:trPr>
          <w:trHeight w:val="870"/>
        </w:trPr>
        <w:tc>
          <w:tcPr>
            <w:tcW w:w="113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4916" w:rsidRPr="00632F62" w:rsidRDefault="00D34916" w:rsidP="009A1F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Program-at-a-Glance</w:t>
            </w:r>
          </w:p>
          <w:p w:rsidR="00D34916" w:rsidRPr="00697B4D" w:rsidRDefault="00D34916" w:rsidP="00E6297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7B4D">
              <w:rPr>
                <w:rFonts w:asciiTheme="minorHAnsi" w:hAnsiTheme="minorHAnsi" w:cstheme="minorHAnsi"/>
                <w:b/>
                <w:szCs w:val="24"/>
              </w:rPr>
              <w:t>PA/MPH Global Environmental Health</w:t>
            </w:r>
          </w:p>
          <w:p w:rsidR="00D34916" w:rsidRPr="00632F62" w:rsidRDefault="00D34916" w:rsidP="00D3491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D34916" w:rsidRPr="00632F62" w:rsidRDefault="00D34916" w:rsidP="0004237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Matriculating Summer 202</w:t>
            </w:r>
            <w:r w:rsidR="00042373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BB3FFD" w:rsidRPr="00632F62" w:rsidTr="00632F62">
        <w:trPr>
          <w:trHeight w:val="216"/>
        </w:trPr>
        <w:tc>
          <w:tcPr>
            <w:tcW w:w="5868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3FFD" w:rsidRPr="00632F62" w:rsidRDefault="00BB3FFD" w:rsidP="009A1FB5">
            <w:pPr>
              <w:pStyle w:val="Heading3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 xml:space="preserve">Required Core </w:t>
            </w:r>
            <w:r w:rsidR="00632F62">
              <w:rPr>
                <w:rFonts w:asciiTheme="minorHAnsi" w:hAnsiTheme="minorHAnsi" w:cstheme="minorHAnsi"/>
                <w:sz w:val="20"/>
              </w:rPr>
              <w:t xml:space="preserve">MPH </w:t>
            </w:r>
            <w:r w:rsidRPr="00632F62">
              <w:rPr>
                <w:rFonts w:asciiTheme="minorHAnsi" w:hAnsiTheme="minorHAnsi" w:cstheme="minorHAnsi"/>
                <w:sz w:val="20"/>
              </w:rPr>
              <w:t>Course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B3FFD" w:rsidRPr="00632F62" w:rsidRDefault="00BB3FFD" w:rsidP="009A1F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MPH Credits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3FFD" w:rsidRPr="00632F62" w:rsidRDefault="00BB3FFD" w:rsidP="009A1FB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Cross Credit?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B3FFD" w:rsidRPr="00632F62" w:rsidRDefault="00632F62" w:rsidP="00632F6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Semester</w:t>
            </w:r>
          </w:p>
        </w:tc>
      </w:tr>
      <w:tr w:rsidR="0079510C" w:rsidRPr="00632F62" w:rsidTr="00632F62">
        <w:trPr>
          <w:trHeight w:val="308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6002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2F62">
              <w:rPr>
                <w:rFonts w:asciiTheme="minorHAnsi" w:hAnsiTheme="minorHAnsi" w:cstheme="minorHAnsi"/>
                <w:sz w:val="20"/>
              </w:rPr>
              <w:t>Biostatistical</w:t>
            </w:r>
            <w:proofErr w:type="spellEnd"/>
            <w:r w:rsidRPr="00632F62">
              <w:rPr>
                <w:rFonts w:asciiTheme="minorHAnsi" w:hAnsiTheme="minorHAnsi" w:cstheme="minorHAnsi"/>
                <w:sz w:val="20"/>
              </w:rPr>
              <w:t xml:space="preserve"> Applications for Public Health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 xml:space="preserve">No 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6003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Principles and Practice of Epidemiology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 xml:space="preserve">No 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6007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Social and Behavioral Approaches to Public Health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2F62">
              <w:rPr>
                <w:rFonts w:asciiTheme="minorHAnsi" w:hAnsiTheme="minorHAnsi" w:cstheme="minorHAnsi"/>
                <w:i/>
                <w:sz w:val="18"/>
                <w:szCs w:val="18"/>
              </w:rPr>
              <w:t>Meets PA requirement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 xml:space="preserve">Summer 1 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6009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404EC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Fundamentals of Program Evaluation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404EC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404EC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D34916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</w:tcPr>
          <w:p w:rsidR="00D34916" w:rsidRPr="00632F62" w:rsidRDefault="00D3491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 6011</w:t>
            </w:r>
          </w:p>
        </w:tc>
        <w:tc>
          <w:tcPr>
            <w:tcW w:w="4623" w:type="dxa"/>
          </w:tcPr>
          <w:p w:rsidR="00D34916" w:rsidRPr="00632F62" w:rsidRDefault="00404EC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Environmental and Biological F</w:t>
            </w:r>
            <w:r w:rsidR="00D34916" w:rsidRPr="00632F62">
              <w:rPr>
                <w:rFonts w:asciiTheme="minorHAnsi" w:hAnsiTheme="minorHAnsi" w:cstheme="minorHAnsi"/>
                <w:sz w:val="20"/>
              </w:rPr>
              <w:t>oundations</w:t>
            </w:r>
            <w:r w:rsidRPr="00632F6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34916" w:rsidRPr="00632F62">
              <w:rPr>
                <w:rFonts w:asciiTheme="minorHAnsi" w:hAnsiTheme="minorHAnsi" w:cstheme="minorHAnsi"/>
                <w:sz w:val="20"/>
              </w:rPr>
              <w:t>of Public Health</w:t>
            </w:r>
          </w:p>
        </w:tc>
        <w:tc>
          <w:tcPr>
            <w:tcW w:w="1260" w:type="dxa"/>
          </w:tcPr>
          <w:p w:rsidR="00D34916" w:rsidRPr="00632F62" w:rsidRDefault="00D34916" w:rsidP="00404EC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D34916" w:rsidRPr="00632F62" w:rsidRDefault="00D3491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 xml:space="preserve">No 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D34916" w:rsidRPr="00632F62" w:rsidRDefault="00D3491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D34916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</w:tcPr>
          <w:p w:rsidR="00D34916" w:rsidRPr="00632F62" w:rsidRDefault="00D3491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 6012</w:t>
            </w:r>
          </w:p>
        </w:tc>
        <w:tc>
          <w:tcPr>
            <w:tcW w:w="4623" w:type="dxa"/>
          </w:tcPr>
          <w:p w:rsidR="00D34916" w:rsidRPr="00632F62" w:rsidRDefault="00404EC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Funda</w:t>
            </w:r>
            <w:r w:rsidR="00D34916" w:rsidRPr="00632F62">
              <w:rPr>
                <w:rFonts w:asciiTheme="minorHAnsi" w:hAnsiTheme="minorHAnsi" w:cstheme="minorHAnsi"/>
                <w:sz w:val="20"/>
              </w:rPr>
              <w:t xml:space="preserve">mentals of Health Policy </w:t>
            </w:r>
          </w:p>
        </w:tc>
        <w:tc>
          <w:tcPr>
            <w:tcW w:w="1260" w:type="dxa"/>
          </w:tcPr>
          <w:p w:rsidR="00D34916" w:rsidRPr="00632F62" w:rsidRDefault="00D34916" w:rsidP="00404EC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D34916" w:rsidRPr="00632F62" w:rsidRDefault="00D3491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D34916" w:rsidRPr="00632F62" w:rsidRDefault="00D34916" w:rsidP="00D3491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6021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Essentials of PH Practice &amp; Leadership I:  Leading Self &amp; Teams in PH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6022</w:t>
            </w:r>
            <w:r w:rsidR="00404EC6" w:rsidRPr="00632F62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Essentials in PH Practice &amp; Leadership II:  Managing Organizations &amp; Influencing Systems in PH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Fall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6023</w:t>
            </w:r>
            <w:r w:rsidR="00632F62">
              <w:rPr>
                <w:rFonts w:asciiTheme="minorHAnsi" w:hAnsiTheme="minorHAnsi" w:cstheme="minorHAnsi"/>
                <w:sz w:val="20"/>
              </w:rPr>
              <w:t>^</w:t>
            </w:r>
          </w:p>
        </w:tc>
        <w:tc>
          <w:tcPr>
            <w:tcW w:w="4623" w:type="dxa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2F62">
              <w:rPr>
                <w:rFonts w:asciiTheme="minorHAnsi" w:hAnsiTheme="minorHAnsi" w:cstheme="minorHAnsi"/>
                <w:sz w:val="20"/>
              </w:rPr>
              <w:t>Interprofessional</w:t>
            </w:r>
            <w:proofErr w:type="spellEnd"/>
            <w:r w:rsidRPr="00632F62">
              <w:rPr>
                <w:rFonts w:asciiTheme="minorHAnsi" w:hAnsiTheme="minorHAnsi" w:cstheme="minorHAnsi"/>
                <w:sz w:val="20"/>
              </w:rPr>
              <w:t xml:space="preserve"> Education Experience (IPE)</w:t>
            </w:r>
          </w:p>
        </w:tc>
        <w:tc>
          <w:tcPr>
            <w:tcW w:w="1260" w:type="dxa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2307" w:type="dxa"/>
          </w:tcPr>
          <w:p w:rsidR="0079510C" w:rsidRPr="00632F62" w:rsidRDefault="00404EC6" w:rsidP="007951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2F62">
              <w:rPr>
                <w:rFonts w:asciiTheme="minorHAnsi" w:hAnsiTheme="minorHAnsi" w:cstheme="minorHAnsi"/>
                <w:i/>
                <w:sz w:val="18"/>
                <w:szCs w:val="18"/>
              </w:rPr>
              <w:t>Can be met with PA IPE event</w:t>
            </w:r>
          </w:p>
        </w:tc>
        <w:tc>
          <w:tcPr>
            <w:tcW w:w="1905" w:type="dxa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Fall or Spring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  <w:tc>
          <w:tcPr>
            <w:tcW w:w="462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Core Credits</w:t>
            </w: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17</w:t>
            </w:r>
          </w:p>
        </w:tc>
        <w:tc>
          <w:tcPr>
            <w:tcW w:w="230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2F62" w:rsidRPr="00632F62" w:rsidTr="00B569B3">
        <w:trPr>
          <w:trHeight w:val="216"/>
        </w:trPr>
        <w:tc>
          <w:tcPr>
            <w:tcW w:w="113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32F62" w:rsidRPr="00632F62" w:rsidRDefault="00632F62" w:rsidP="00632F6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 xml:space="preserve">Required Course for PA/MPH Students </w:t>
            </w:r>
          </w:p>
        </w:tc>
      </w:tr>
      <w:tr w:rsidR="00632F62" w:rsidRPr="00632F62" w:rsidTr="008D15A0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</w:tcPr>
          <w:p w:rsidR="00632F62" w:rsidRPr="00632F62" w:rsidRDefault="00632F62" w:rsidP="00632F62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 6591</w:t>
            </w:r>
          </w:p>
        </w:tc>
        <w:tc>
          <w:tcPr>
            <w:tcW w:w="4623" w:type="dxa"/>
          </w:tcPr>
          <w:p w:rsidR="00632F62" w:rsidRPr="00632F62" w:rsidRDefault="00632F62" w:rsidP="00632F62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Leadership Seminar for PA/MPH</w:t>
            </w:r>
          </w:p>
        </w:tc>
        <w:tc>
          <w:tcPr>
            <w:tcW w:w="1260" w:type="dxa"/>
          </w:tcPr>
          <w:p w:rsidR="00632F62" w:rsidRPr="00632F62" w:rsidRDefault="00632F62" w:rsidP="00632F6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632F62" w:rsidRPr="00632F62" w:rsidRDefault="00632F62" w:rsidP="00632F62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632F62" w:rsidRPr="00632F62" w:rsidRDefault="00632F62" w:rsidP="00632F62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Summer 1</w:t>
            </w:r>
          </w:p>
        </w:tc>
      </w:tr>
      <w:tr w:rsidR="00632F62" w:rsidRPr="00632F62" w:rsidTr="00632F62">
        <w:trPr>
          <w:trHeight w:val="216"/>
        </w:trPr>
        <w:tc>
          <w:tcPr>
            <w:tcW w:w="113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2F62" w:rsidRPr="00632F62" w:rsidRDefault="00632F62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Required Global Environmental Health Track Courses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6121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632F62">
              <w:rPr>
                <w:rFonts w:asciiTheme="minorHAnsi" w:hAnsiTheme="minorHAnsi" w:cstheme="minorHAnsi"/>
                <w:color w:val="000000"/>
                <w:sz w:val="20"/>
              </w:rPr>
              <w:t>Environmental and Occupational Epidemiology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Fall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6126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Assessment and Control of Environmental Hazards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Fall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6128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Global Environmental Health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A9770B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Online S</w:t>
            </w:r>
            <w:r w:rsidR="00A9770B">
              <w:rPr>
                <w:rFonts w:asciiTheme="minorHAnsi" w:hAnsiTheme="minorHAnsi" w:cstheme="minorHAnsi"/>
                <w:sz w:val="20"/>
              </w:rPr>
              <w:t>pring</w:t>
            </w:r>
            <w:r w:rsidRPr="00632F62">
              <w:rPr>
                <w:rFonts w:asciiTheme="minorHAnsi" w:hAnsiTheme="minorHAnsi" w:cstheme="minorHAnsi"/>
                <w:sz w:val="20"/>
              </w:rPr>
              <w:t xml:space="preserve"> or </w:t>
            </w:r>
            <w:r w:rsidR="00A9770B">
              <w:rPr>
                <w:rFonts w:asciiTheme="minorHAnsi" w:hAnsiTheme="minorHAnsi" w:cstheme="minorHAnsi"/>
                <w:sz w:val="20"/>
              </w:rPr>
              <w:t>Summer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6400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Global Health Frameworks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Fall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6137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EOH Culminating Experience (a)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Fall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6435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Global Health Program Development and Implementation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Spring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6411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spacing w:before="100" w:beforeAutospacing="1" w:after="6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Qualitative Data Collection and Analysis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632F62">
              <w:rPr>
                <w:rFonts w:asciiTheme="minorHAnsi" w:hAnsiTheme="minorHAnsi" w:cstheme="minorHAnsi"/>
                <w:color w:val="000000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Spring1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A9464C">
              <w:rPr>
                <w:rFonts w:asciiTheme="minorHAnsi" w:hAnsiTheme="minorHAnsi" w:cstheme="minorHAnsi"/>
                <w:sz w:val="20"/>
              </w:rPr>
              <w:t xml:space="preserve"> 6</w:t>
            </w:r>
            <w:r w:rsidR="00451088">
              <w:rPr>
                <w:rFonts w:asciiTheme="minorHAnsi" w:hAnsiTheme="minorHAnsi" w:cstheme="minorHAnsi"/>
                <w:sz w:val="20"/>
              </w:rPr>
              <w:t>853</w:t>
            </w:r>
          </w:p>
        </w:tc>
        <w:tc>
          <w:tcPr>
            <w:tcW w:w="4623" w:type="dxa"/>
            <w:vAlign w:val="center"/>
          </w:tcPr>
          <w:p w:rsidR="0079510C" w:rsidRPr="00632F62" w:rsidRDefault="00451088" w:rsidP="0079510C">
            <w:pPr>
              <w:spacing w:before="100" w:beforeAutospacing="1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Use of </w:t>
            </w:r>
            <w:r w:rsidR="00A9464C" w:rsidRPr="00A9464C">
              <w:rPr>
                <w:rFonts w:asciiTheme="minorHAnsi" w:hAnsiTheme="minorHAnsi" w:cstheme="minorHAnsi"/>
                <w:sz w:val="20"/>
              </w:rPr>
              <w:t>Statistical Packages: Data Management &amp; Data Analysis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632F62">
              <w:rPr>
                <w:rFonts w:asciiTheme="minorHAnsi" w:hAnsiTheme="minorHAnsi" w:cstheme="minorHAnsi"/>
                <w:color w:val="000000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A9464C" w:rsidP="00A9770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Fall</w:t>
            </w:r>
            <w:r w:rsidR="00404EC6" w:rsidRPr="00632F6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6138</w:t>
            </w:r>
          </w:p>
        </w:tc>
        <w:tc>
          <w:tcPr>
            <w:tcW w:w="4623" w:type="dxa"/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EOH Culminating Experience (b)</w:t>
            </w:r>
          </w:p>
        </w:tc>
        <w:tc>
          <w:tcPr>
            <w:tcW w:w="1260" w:type="dxa"/>
            <w:vAlign w:val="center"/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Spring 1</w:t>
            </w:r>
          </w:p>
        </w:tc>
      </w:tr>
      <w:tr w:rsidR="0079510C" w:rsidRPr="00632F62" w:rsidTr="00632F62">
        <w:trPr>
          <w:trHeight w:val="216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  <w:tc>
          <w:tcPr>
            <w:tcW w:w="462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Program Specific Credits</w:t>
            </w: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9510C" w:rsidRPr="00632F62" w:rsidRDefault="008A08F6" w:rsidP="007951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19</w:t>
            </w:r>
          </w:p>
        </w:tc>
        <w:tc>
          <w:tcPr>
            <w:tcW w:w="230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0 PA cross-credits</w:t>
            </w:r>
          </w:p>
        </w:tc>
        <w:tc>
          <w:tcPr>
            <w:tcW w:w="19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9510C" w:rsidRPr="00632F62" w:rsidRDefault="0079510C" w:rsidP="007951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9510C" w:rsidRPr="00632F62" w:rsidTr="00632F62">
        <w:trPr>
          <w:trHeight w:val="216"/>
        </w:trPr>
        <w:tc>
          <w:tcPr>
            <w:tcW w:w="94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10C" w:rsidRPr="00632F62" w:rsidRDefault="0079510C" w:rsidP="00697B4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32F62">
              <w:rPr>
                <w:rFonts w:asciiTheme="minorHAnsi" w:hAnsiTheme="minorHAnsi" w:cstheme="minorHAnsi"/>
                <w:b/>
                <w:sz w:val="20"/>
              </w:rPr>
              <w:t>Electives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510C" w:rsidRPr="00632F62" w:rsidRDefault="0079510C" w:rsidP="0079510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510C" w:rsidRPr="00632F62" w:rsidTr="00632F62">
        <w:trPr>
          <w:trHeight w:val="260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6xxx</w:t>
            </w:r>
          </w:p>
        </w:tc>
        <w:tc>
          <w:tcPr>
            <w:tcW w:w="4623" w:type="dxa"/>
            <w:vAlign w:val="center"/>
          </w:tcPr>
          <w:p w:rsidR="0079510C" w:rsidRPr="00632F62" w:rsidRDefault="00D34916" w:rsidP="0079510C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>PUBH</w:t>
            </w:r>
            <w:r w:rsidR="0079510C" w:rsidRPr="00632F62">
              <w:rPr>
                <w:rFonts w:asciiTheme="minorHAnsi" w:hAnsiTheme="minorHAnsi" w:cstheme="minorHAnsi"/>
                <w:sz w:val="20"/>
              </w:rPr>
              <w:t xml:space="preserve"> Elective(s) with Advisors Approval</w:t>
            </w:r>
          </w:p>
        </w:tc>
        <w:tc>
          <w:tcPr>
            <w:tcW w:w="1260" w:type="dxa"/>
            <w:vAlign w:val="center"/>
          </w:tcPr>
          <w:p w:rsidR="0079510C" w:rsidRPr="00697B4D" w:rsidRDefault="00697B4D" w:rsidP="008A08F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79510C" w:rsidRPr="00632F62" w:rsidRDefault="0079510C" w:rsidP="00404EC6">
            <w:pPr>
              <w:rPr>
                <w:rFonts w:asciiTheme="minorHAnsi" w:hAnsiTheme="minorHAnsi" w:cstheme="minorHAnsi"/>
                <w:sz w:val="20"/>
              </w:rPr>
            </w:pPr>
            <w:r w:rsidRPr="00632F62">
              <w:rPr>
                <w:rFonts w:asciiTheme="minorHAnsi" w:hAnsiTheme="minorHAnsi" w:cstheme="minorHAnsi"/>
                <w:sz w:val="20"/>
              </w:rPr>
              <w:t xml:space="preserve">Yes, </w:t>
            </w:r>
            <w:r w:rsidR="008A08F6" w:rsidRPr="00632F62">
              <w:rPr>
                <w:rFonts w:asciiTheme="minorHAnsi" w:hAnsiTheme="minorHAnsi" w:cstheme="minorHAnsi"/>
                <w:sz w:val="20"/>
              </w:rPr>
              <w:t xml:space="preserve">7 </w:t>
            </w:r>
            <w:r w:rsidR="00A9770B">
              <w:rPr>
                <w:rFonts w:asciiTheme="minorHAnsi" w:hAnsiTheme="minorHAnsi" w:cstheme="minorHAnsi"/>
                <w:sz w:val="20"/>
              </w:rPr>
              <w:t>additional elective credits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79510C" w:rsidRPr="00632F62" w:rsidRDefault="00A9770B" w:rsidP="0079510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Fall or Spring</w:t>
            </w:r>
          </w:p>
        </w:tc>
      </w:tr>
      <w:tr w:rsidR="00697B4D" w:rsidRPr="00632F62" w:rsidTr="00632F62">
        <w:trPr>
          <w:trHeight w:val="260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697B4D" w:rsidRPr="00632F62" w:rsidRDefault="00697B4D" w:rsidP="0079510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23" w:type="dxa"/>
            <w:vAlign w:val="center"/>
          </w:tcPr>
          <w:p w:rsidR="00697B4D" w:rsidRPr="00697B4D" w:rsidRDefault="00697B4D" w:rsidP="007951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7B4D">
              <w:rPr>
                <w:rFonts w:asciiTheme="minorHAnsi" w:hAnsiTheme="minorHAnsi" w:cstheme="minorHAnsi"/>
                <w:b/>
                <w:sz w:val="20"/>
              </w:rPr>
              <w:t>TOTAL CREDITS</w:t>
            </w:r>
          </w:p>
        </w:tc>
        <w:tc>
          <w:tcPr>
            <w:tcW w:w="1260" w:type="dxa"/>
            <w:vAlign w:val="center"/>
          </w:tcPr>
          <w:p w:rsidR="00697B4D" w:rsidRPr="00697B4D" w:rsidRDefault="00697B4D" w:rsidP="008A08F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97B4D">
              <w:rPr>
                <w:rFonts w:asciiTheme="minorHAnsi" w:hAnsiTheme="minorHAnsi" w:cstheme="minorHAnsi"/>
                <w:b/>
                <w:sz w:val="20"/>
              </w:rPr>
              <w:t>38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697B4D" w:rsidRPr="00632F62" w:rsidRDefault="00697B4D" w:rsidP="00404EC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:rsidR="00697B4D" w:rsidRPr="00632F62" w:rsidRDefault="00697B4D" w:rsidP="007951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04EC6" w:rsidRPr="00632F62" w:rsidRDefault="00404EC6" w:rsidP="00404EC6">
      <w:pPr>
        <w:pStyle w:val="NoSpacing"/>
        <w:rPr>
          <w:rFonts w:cstheme="minorHAnsi"/>
          <w:color w:val="0D0D0D" w:themeColor="text1" w:themeTint="F2"/>
          <w:sz w:val="20"/>
          <w:szCs w:val="20"/>
        </w:rPr>
      </w:pPr>
      <w:r w:rsidRPr="00632F62">
        <w:rPr>
          <w:rStyle w:val="EndnoteReference"/>
          <w:rFonts w:cstheme="minorHAnsi"/>
          <w:sz w:val="20"/>
          <w:szCs w:val="20"/>
        </w:rPr>
        <w:t>*</w:t>
      </w:r>
      <w:r w:rsidRPr="00632F62">
        <w:rPr>
          <w:rFonts w:cstheme="minorHAnsi"/>
          <w:color w:val="0D0D0D" w:themeColor="text1" w:themeTint="F2"/>
          <w:sz w:val="20"/>
          <w:szCs w:val="20"/>
        </w:rPr>
        <w:t xml:space="preserve"> In PUBH 6021 and PUBH 6022, the Applied Practice Experience (Practicum) will be introduced and guidelines and tools for fulfilling this requirement will be provided.  Upon completion of the 120-hour required practicum, students will receive credit for PUBH 6022.</w:t>
      </w:r>
      <w:r w:rsidR="00A9770B">
        <w:rPr>
          <w:rFonts w:cstheme="minorHAnsi"/>
          <w:color w:val="0D0D0D" w:themeColor="text1" w:themeTint="F2"/>
          <w:sz w:val="20"/>
          <w:szCs w:val="20"/>
        </w:rPr>
        <w:t xml:space="preserve">  Practicum may be met with PA clinical rotation in Occupational Health with advanced approval.</w:t>
      </w:r>
    </w:p>
    <w:p w:rsidR="00404EC6" w:rsidRPr="00632F62" w:rsidRDefault="00404EC6" w:rsidP="00404EC6">
      <w:pPr>
        <w:pStyle w:val="NoSpacing"/>
        <w:rPr>
          <w:rFonts w:cstheme="minorHAnsi"/>
          <w:sz w:val="20"/>
          <w:szCs w:val="20"/>
        </w:rPr>
      </w:pPr>
      <w:r w:rsidRPr="00632F62">
        <w:rPr>
          <w:rFonts w:cstheme="minorHAnsi"/>
          <w:sz w:val="20"/>
          <w:szCs w:val="20"/>
        </w:rPr>
        <w:t>^ IPE- can be fulfilled with approved Health Sciences IPE event</w:t>
      </w:r>
    </w:p>
    <w:p w:rsidR="00A9770B" w:rsidRDefault="00A9770B">
      <w:pPr>
        <w:rPr>
          <w:rFonts w:asciiTheme="minorHAnsi" w:hAnsiTheme="minorHAnsi" w:cstheme="minorHAnsi"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662AD3" w:rsidRDefault="00662AD3">
      <w:pPr>
        <w:rPr>
          <w:rFonts w:asciiTheme="minorHAnsi" w:hAnsiTheme="minorHAnsi" w:cstheme="minorHAnsi"/>
          <w:b/>
          <w:sz w:val="20"/>
        </w:rPr>
      </w:pPr>
    </w:p>
    <w:p w:rsidR="00662AD3" w:rsidRDefault="00662AD3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A9770B" w:rsidRDefault="00A9770B">
      <w:pPr>
        <w:rPr>
          <w:rFonts w:asciiTheme="minorHAnsi" w:hAnsiTheme="minorHAnsi" w:cstheme="minorHAnsi"/>
          <w:b/>
          <w:sz w:val="20"/>
        </w:rPr>
      </w:pPr>
      <w:r w:rsidRPr="00A9770B">
        <w:rPr>
          <w:rFonts w:asciiTheme="minorHAnsi" w:hAnsiTheme="minorHAnsi" w:cstheme="minorHAnsi"/>
          <w:b/>
          <w:sz w:val="20"/>
        </w:rPr>
        <w:t>S</w:t>
      </w:r>
      <w:r>
        <w:rPr>
          <w:rFonts w:asciiTheme="minorHAnsi" w:hAnsiTheme="minorHAnsi" w:cstheme="minorHAnsi"/>
          <w:b/>
          <w:sz w:val="20"/>
        </w:rPr>
        <w:t>AMPLE</w:t>
      </w:r>
      <w:r w:rsidRPr="00A9770B">
        <w:rPr>
          <w:rFonts w:asciiTheme="minorHAnsi" w:hAnsiTheme="minorHAnsi" w:cstheme="minorHAnsi"/>
          <w:b/>
          <w:sz w:val="20"/>
        </w:rPr>
        <w:t xml:space="preserve"> SCHEDULE</w:t>
      </w:r>
    </w:p>
    <w:p w:rsidR="00A9770B" w:rsidRDefault="00A9770B">
      <w:pPr>
        <w:rPr>
          <w:rFonts w:asciiTheme="minorHAnsi" w:hAnsiTheme="minorHAnsi" w:cstheme="minorHAnsi"/>
          <w:b/>
          <w:sz w:val="20"/>
        </w:rPr>
      </w:pPr>
    </w:p>
    <w:p w:rsidR="00404EC6" w:rsidRPr="00A9770B" w:rsidRDefault="00404EC6">
      <w:pPr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450"/>
        <w:gridCol w:w="796"/>
        <w:gridCol w:w="1284"/>
        <w:gridCol w:w="734"/>
        <w:gridCol w:w="2087"/>
        <w:gridCol w:w="734"/>
        <w:gridCol w:w="833"/>
      </w:tblGrid>
      <w:tr w:rsidR="00A9770B" w:rsidRPr="00A9770B" w:rsidTr="00A9770B">
        <w:trPr>
          <w:trHeight w:val="870"/>
        </w:trPr>
        <w:tc>
          <w:tcPr>
            <w:tcW w:w="1433" w:type="dxa"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Global Environmental Health</w:t>
            </w: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Summer 2020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Credits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Fall 2020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Credits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Spring 2021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Credits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TOTAL </w:t>
            </w:r>
            <w:r w:rsidRPr="00A9770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CREDITS</w:t>
            </w: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6002- 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6022-C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PUBH 6128-RQ (online)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6003-C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6121-RQ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6435-RQ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6007-C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6126-RQ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6411-RQ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464C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6009*-C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6400-RQ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8" w:type="dxa"/>
            <w:noWrap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noWrap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6011-C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6137-RQ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6138-RQ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6012-C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6xxx- Elec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6021-C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464C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PUBH 6</w:t>
            </w:r>
            <w:r w:rsidR="00451088">
              <w:rPr>
                <w:rFonts w:asciiTheme="minorHAnsi" w:hAnsiTheme="minorHAnsi" w:cstheme="minorHAnsi"/>
                <w:sz w:val="18"/>
                <w:szCs w:val="18"/>
              </w:rPr>
              <w:t>853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-RQ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464C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9770B" w:rsidRPr="00A9770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PUBH 6591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Summer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Fall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 Spring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38</w:t>
            </w:r>
          </w:p>
        </w:tc>
      </w:tr>
      <w:tr w:rsidR="00A9770B" w:rsidRPr="00A9770B" w:rsidTr="00A9770B">
        <w:trPr>
          <w:trHeight w:val="290"/>
        </w:trPr>
        <w:tc>
          <w:tcPr>
            <w:tcW w:w="14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* Could move to Fall </w:t>
            </w:r>
          </w:p>
        </w:tc>
        <w:tc>
          <w:tcPr>
            <w:tcW w:w="796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complete practicum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88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977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complete CE</w:t>
            </w:r>
          </w:p>
        </w:tc>
        <w:tc>
          <w:tcPr>
            <w:tcW w:w="733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2" w:type="dxa"/>
            <w:noWrap/>
            <w:hideMark/>
          </w:tcPr>
          <w:p w:rsidR="00A9770B" w:rsidRPr="00A9770B" w:rsidRDefault="00A9770B" w:rsidP="00A977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F1AAC" w:rsidRPr="00D34916" w:rsidRDefault="006F1AAC" w:rsidP="0033279E">
      <w:pPr>
        <w:tabs>
          <w:tab w:val="left" w:pos="-720"/>
        </w:tabs>
        <w:suppressAutoHyphens/>
        <w:rPr>
          <w:rFonts w:asciiTheme="minorHAnsi" w:hAnsiTheme="minorHAnsi" w:cstheme="minorHAnsi"/>
          <w:sz w:val="18"/>
          <w:szCs w:val="18"/>
        </w:rPr>
      </w:pPr>
    </w:p>
    <w:sectPr w:rsidR="006F1AAC" w:rsidRPr="00D34916" w:rsidSect="001B16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FF" w:rsidRDefault="00392FFF">
      <w:r>
        <w:separator/>
      </w:r>
    </w:p>
  </w:endnote>
  <w:endnote w:type="continuationSeparator" w:id="0">
    <w:p w:rsidR="00392FFF" w:rsidRDefault="003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LSQX+Avenir-Heavy">
    <w:altName w:val="Avenir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82" w:rsidRPr="004F4282" w:rsidRDefault="004F4282">
    <w:pPr>
      <w:pStyle w:val="Footer"/>
      <w:rPr>
        <w:sz w:val="20"/>
      </w:rPr>
    </w:pPr>
    <w:r w:rsidRPr="004F4282">
      <w:rPr>
        <w:sz w:val="20"/>
      </w:rPr>
      <w:t xml:space="preserve">Updated </w:t>
    </w:r>
    <w:r w:rsidR="00EA6B8F">
      <w:rPr>
        <w:sz w:val="20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FF" w:rsidRDefault="00392FFF">
      <w:r>
        <w:separator/>
      </w:r>
    </w:p>
  </w:footnote>
  <w:footnote w:type="continuationSeparator" w:id="0">
    <w:p w:rsidR="00392FFF" w:rsidRDefault="0039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398"/>
    <w:multiLevelType w:val="hybridMultilevel"/>
    <w:tmpl w:val="65FE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2596"/>
    <w:multiLevelType w:val="hybridMultilevel"/>
    <w:tmpl w:val="4E2AF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05FAC"/>
    <w:multiLevelType w:val="hybridMultilevel"/>
    <w:tmpl w:val="2606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D2FE1"/>
    <w:multiLevelType w:val="hybridMultilevel"/>
    <w:tmpl w:val="2276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B4B"/>
    <w:multiLevelType w:val="hybridMultilevel"/>
    <w:tmpl w:val="9C84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3252"/>
    <w:multiLevelType w:val="hybridMultilevel"/>
    <w:tmpl w:val="7BE0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D6E6D"/>
    <w:multiLevelType w:val="hybridMultilevel"/>
    <w:tmpl w:val="2276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D8"/>
    <w:rsid w:val="00013F1C"/>
    <w:rsid w:val="00022C6A"/>
    <w:rsid w:val="0002551A"/>
    <w:rsid w:val="00042373"/>
    <w:rsid w:val="00056044"/>
    <w:rsid w:val="00065FCE"/>
    <w:rsid w:val="00095E6D"/>
    <w:rsid w:val="000B3549"/>
    <w:rsid w:val="000C416A"/>
    <w:rsid w:val="000D1780"/>
    <w:rsid w:val="000D457D"/>
    <w:rsid w:val="001006E4"/>
    <w:rsid w:val="00137B85"/>
    <w:rsid w:val="00142FCE"/>
    <w:rsid w:val="0014445C"/>
    <w:rsid w:val="00164D5D"/>
    <w:rsid w:val="001B16CF"/>
    <w:rsid w:val="00205719"/>
    <w:rsid w:val="002978AA"/>
    <w:rsid w:val="002A57BE"/>
    <w:rsid w:val="002B1812"/>
    <w:rsid w:val="002D5195"/>
    <w:rsid w:val="002F73EF"/>
    <w:rsid w:val="002F76F8"/>
    <w:rsid w:val="00307170"/>
    <w:rsid w:val="00317A41"/>
    <w:rsid w:val="0032430C"/>
    <w:rsid w:val="00326B12"/>
    <w:rsid w:val="0033279E"/>
    <w:rsid w:val="00332AA3"/>
    <w:rsid w:val="003518C4"/>
    <w:rsid w:val="003615D4"/>
    <w:rsid w:val="0038205F"/>
    <w:rsid w:val="00382B95"/>
    <w:rsid w:val="00386D16"/>
    <w:rsid w:val="00392FFF"/>
    <w:rsid w:val="003A2100"/>
    <w:rsid w:val="003A5200"/>
    <w:rsid w:val="003B52D8"/>
    <w:rsid w:val="003D4675"/>
    <w:rsid w:val="003F5D60"/>
    <w:rsid w:val="00404EC6"/>
    <w:rsid w:val="00426FE5"/>
    <w:rsid w:val="00427E53"/>
    <w:rsid w:val="00447B32"/>
    <w:rsid w:val="00451088"/>
    <w:rsid w:val="004527C6"/>
    <w:rsid w:val="00466B01"/>
    <w:rsid w:val="0047256D"/>
    <w:rsid w:val="00484E46"/>
    <w:rsid w:val="004D1F06"/>
    <w:rsid w:val="004F4282"/>
    <w:rsid w:val="00512006"/>
    <w:rsid w:val="00516080"/>
    <w:rsid w:val="00525939"/>
    <w:rsid w:val="00550C7D"/>
    <w:rsid w:val="00562649"/>
    <w:rsid w:val="005966CC"/>
    <w:rsid w:val="005A79DE"/>
    <w:rsid w:val="005D4AC6"/>
    <w:rsid w:val="005D75F1"/>
    <w:rsid w:val="006244D7"/>
    <w:rsid w:val="006327DD"/>
    <w:rsid w:val="00632F62"/>
    <w:rsid w:val="0064110F"/>
    <w:rsid w:val="00654C6A"/>
    <w:rsid w:val="00662AD3"/>
    <w:rsid w:val="00695B6D"/>
    <w:rsid w:val="00697B4D"/>
    <w:rsid w:val="006A76FD"/>
    <w:rsid w:val="006B3C70"/>
    <w:rsid w:val="006D05EF"/>
    <w:rsid w:val="006D1194"/>
    <w:rsid w:val="006D50BA"/>
    <w:rsid w:val="006F1AAC"/>
    <w:rsid w:val="006F23E7"/>
    <w:rsid w:val="006F7DB7"/>
    <w:rsid w:val="007271D9"/>
    <w:rsid w:val="007404BE"/>
    <w:rsid w:val="00753A78"/>
    <w:rsid w:val="00753DC9"/>
    <w:rsid w:val="0079510C"/>
    <w:rsid w:val="007B3FE4"/>
    <w:rsid w:val="007D73D8"/>
    <w:rsid w:val="007E75C5"/>
    <w:rsid w:val="00857D88"/>
    <w:rsid w:val="008833E9"/>
    <w:rsid w:val="008A08F6"/>
    <w:rsid w:val="008D2444"/>
    <w:rsid w:val="009225D3"/>
    <w:rsid w:val="009463F7"/>
    <w:rsid w:val="0095508B"/>
    <w:rsid w:val="00967A73"/>
    <w:rsid w:val="009A1FB5"/>
    <w:rsid w:val="009A7CB6"/>
    <w:rsid w:val="009C4DC4"/>
    <w:rsid w:val="009C7034"/>
    <w:rsid w:val="009E2E93"/>
    <w:rsid w:val="00A01DB8"/>
    <w:rsid w:val="00A03209"/>
    <w:rsid w:val="00A0334D"/>
    <w:rsid w:val="00A053F4"/>
    <w:rsid w:val="00A34E83"/>
    <w:rsid w:val="00A40F38"/>
    <w:rsid w:val="00A87DED"/>
    <w:rsid w:val="00A9464C"/>
    <w:rsid w:val="00A94930"/>
    <w:rsid w:val="00A9770B"/>
    <w:rsid w:val="00AC29F9"/>
    <w:rsid w:val="00AC69DE"/>
    <w:rsid w:val="00B06710"/>
    <w:rsid w:val="00B07B3D"/>
    <w:rsid w:val="00B252D2"/>
    <w:rsid w:val="00B340F2"/>
    <w:rsid w:val="00B42F30"/>
    <w:rsid w:val="00B466FD"/>
    <w:rsid w:val="00B47590"/>
    <w:rsid w:val="00B71C10"/>
    <w:rsid w:val="00B8188F"/>
    <w:rsid w:val="00B91D9E"/>
    <w:rsid w:val="00BB3FFD"/>
    <w:rsid w:val="00BC5DF3"/>
    <w:rsid w:val="00BD79D1"/>
    <w:rsid w:val="00BF3497"/>
    <w:rsid w:val="00BF4CBF"/>
    <w:rsid w:val="00C149F3"/>
    <w:rsid w:val="00C507F7"/>
    <w:rsid w:val="00C6009F"/>
    <w:rsid w:val="00C612E2"/>
    <w:rsid w:val="00C73797"/>
    <w:rsid w:val="00C768B9"/>
    <w:rsid w:val="00C76F73"/>
    <w:rsid w:val="00C76F89"/>
    <w:rsid w:val="00CA5EC3"/>
    <w:rsid w:val="00CE5256"/>
    <w:rsid w:val="00CF5207"/>
    <w:rsid w:val="00D34916"/>
    <w:rsid w:val="00D47004"/>
    <w:rsid w:val="00D54E15"/>
    <w:rsid w:val="00D91358"/>
    <w:rsid w:val="00DD3461"/>
    <w:rsid w:val="00E13772"/>
    <w:rsid w:val="00E16395"/>
    <w:rsid w:val="00E17329"/>
    <w:rsid w:val="00E31BAE"/>
    <w:rsid w:val="00E34D47"/>
    <w:rsid w:val="00E55F95"/>
    <w:rsid w:val="00E6000F"/>
    <w:rsid w:val="00E62971"/>
    <w:rsid w:val="00E64F42"/>
    <w:rsid w:val="00E66F3D"/>
    <w:rsid w:val="00E67512"/>
    <w:rsid w:val="00E9047B"/>
    <w:rsid w:val="00E9536D"/>
    <w:rsid w:val="00E97DD8"/>
    <w:rsid w:val="00EA6B8F"/>
    <w:rsid w:val="00EB3F1A"/>
    <w:rsid w:val="00EB6574"/>
    <w:rsid w:val="00ED4A08"/>
    <w:rsid w:val="00EE0409"/>
    <w:rsid w:val="00F00949"/>
    <w:rsid w:val="00F16F27"/>
    <w:rsid w:val="00F30FB8"/>
    <w:rsid w:val="00F539EC"/>
    <w:rsid w:val="00F56ADE"/>
    <w:rsid w:val="00F67529"/>
    <w:rsid w:val="00FA6AA3"/>
    <w:rsid w:val="00FC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A4D6"/>
  <w15:docId w15:val="{94D66DE2-23CD-4254-81C7-F457342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0F"/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2D8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2D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2D8"/>
    <w:pPr>
      <w:keepNext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2D8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52D8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52D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C29F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17329"/>
    <w:pPr>
      <w:autoSpaceDE w:val="0"/>
      <w:autoSpaceDN w:val="0"/>
      <w:adjustRightInd w:val="0"/>
      <w:ind w:left="39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17329"/>
    <w:rPr>
      <w:rFonts w:cs="Calibri"/>
    </w:rPr>
  </w:style>
  <w:style w:type="paragraph" w:styleId="ListParagraph">
    <w:name w:val="List Paragraph"/>
    <w:basedOn w:val="Normal"/>
    <w:uiPriority w:val="99"/>
    <w:qFormat/>
    <w:rsid w:val="00E17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7256D"/>
    <w:pPr>
      <w:widowControl w:val="0"/>
      <w:autoSpaceDE w:val="0"/>
      <w:autoSpaceDN w:val="0"/>
      <w:adjustRightInd w:val="0"/>
    </w:pPr>
    <w:rPr>
      <w:rFonts w:ascii="QULSQX+Avenir-Heavy" w:eastAsiaTheme="minorEastAsia" w:hAnsi="QULSQX+Avenir-Heavy" w:cs="QULSQX+Avenir-Heavy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2971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971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629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282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4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82"/>
    <w:rPr>
      <w:rFonts w:ascii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0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8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8F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8F6"/>
    <w:rPr>
      <w:rFonts w:ascii="Times New Roman" w:eastAsia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04EC6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404EC6"/>
    <w:rPr>
      <w:vertAlign w:val="superscript"/>
    </w:rPr>
  </w:style>
  <w:style w:type="table" w:styleId="TableGrid">
    <w:name w:val="Table Grid"/>
    <w:basedOn w:val="TableNormal"/>
    <w:locked/>
    <w:rsid w:val="00A9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473</Words>
  <Characters>2368</Characters>
  <Application>Microsoft Office Word</Application>
  <DocSecurity>0</DocSecurity>
  <Lines>296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Program-at-a-Glance</vt:lpstr>
    </vt:vector>
  </TitlesOfParts>
  <Company>The George Washington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Program-at-a-Glance</dc:title>
  <dc:creator>GWU</dc:creator>
  <cp:lastModifiedBy>Brunori, Elisse K.</cp:lastModifiedBy>
  <cp:revision>4</cp:revision>
  <cp:lastPrinted>2020-04-10T16:01:00Z</cp:lastPrinted>
  <dcterms:created xsi:type="dcterms:W3CDTF">2020-03-02T15:33:00Z</dcterms:created>
  <dcterms:modified xsi:type="dcterms:W3CDTF">2020-04-10T16:02:00Z</dcterms:modified>
</cp:coreProperties>
</file>